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margin">
              <wp:posOffset>130810</wp:posOffset>
            </wp:positionH>
            <wp:positionV relativeFrom="paragraph">
              <wp:posOffset>112395</wp:posOffset>
            </wp:positionV>
            <wp:extent cx="1334135" cy="434340"/>
            <wp:effectExtent l="0" t="0" r="0" b="3810"/>
            <wp:wrapTight wrapText="bothSides">
              <wp:wrapPolygon edited="0">
                <wp:start x="0" y="0"/>
                <wp:lineTo x="0" y="20842"/>
                <wp:lineTo x="21281" y="20842"/>
                <wp:lineTo x="21281" y="0"/>
                <wp:lineTo x="0" y="0"/>
              </wp:wrapPolygon>
            </wp:wrapTight>
            <wp:docPr id="2" name="Image 2" descr="Petites annonces - Le CH St Denis Delafontaine re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tites annonces - Le CH St Denis Delafontaine recru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4135"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A.E.</w:t>
            </w:r>
          </w:p>
          <w:p>
            <w:pPr>
              <w:jc w:val="center"/>
              <w:rPr>
                <w:b/>
                <w:sz w:val="28"/>
              </w:rPr>
            </w:pPr>
            <w:r>
              <w:rPr>
                <w:b/>
                <w:sz w:val="28"/>
              </w:rPr>
              <w:t>ACTE D’ENGAGEMENT</w:t>
            </w:r>
          </w:p>
          <w:p>
            <w:pPr>
              <w:jc w:val="center"/>
              <w:rPr>
                <w:b/>
                <w:sz w:val="28"/>
              </w:rPr>
            </w:pPr>
            <w:r>
              <w:rPr>
                <w:b/>
                <w:sz w:val="28"/>
              </w:rPr>
              <w:t>N° BNT2025</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rPr>
          <w:trHeight w:val="713"/>
        </w:trPr>
        <w:tc>
          <w:tcPr>
            <w:tcW w:w="9072" w:type="dxa"/>
            <w:shd w:val="clear" w:color="auto" w:fill="CCB6D9"/>
          </w:tcPr>
          <w:p>
            <w:pPr>
              <w:ind w:left="312" w:right="-112"/>
              <w:jc w:val="center"/>
              <w:rPr>
                <w:b/>
                <w:sz w:val="28"/>
              </w:rPr>
            </w:pPr>
            <w:r>
              <w:rPr>
                <w:b/>
                <w:sz w:val="28"/>
              </w:rPr>
              <w:t>PRESTATIONS DE SERVICES DE BIO-NETTOYAGE, D’ENTRETIEN DES LOCAUX ET LA VITRERIE POUR LE GHT PLAINE DE FRANCE</w:t>
            </w: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jc w:val="center"/>
        <w:rPr>
          <w:b/>
        </w:rPr>
      </w:pPr>
    </w:p>
    <w:p>
      <w:pPr>
        <w:ind w:left="0"/>
        <w:jc w:val="center"/>
      </w:pPr>
      <w:r>
        <w:t>Appel d’offres ouvert</w:t>
      </w:r>
      <w:r>
        <w:rPr>
          <w:color w:val="FF0066"/>
        </w:rPr>
        <w:t> :</w:t>
      </w:r>
      <w:r>
        <w:t xml:space="preserve"> articles L.2124-2 et R.2124-2-1 du Code ;</w:t>
      </w:r>
    </w:p>
    <w:p>
      <w:pPr>
        <w:jc w:val="center"/>
      </w:pPr>
      <w:r>
        <w:t>&amp;</w:t>
      </w:r>
    </w:p>
    <w:p>
      <w:pPr>
        <w:jc w:val="center"/>
      </w:pPr>
      <w:r>
        <w:t>Accord-cadre Mono-attributaire : articles –L.2125-1</w:t>
      </w:r>
      <w:r>
        <w:rPr>
          <w:bCs/>
        </w:rPr>
        <w:t xml:space="preserve"> </w:t>
      </w:r>
      <w:r>
        <w:t>et R.2162-2-2°- du Code ;</w:t>
      </w:r>
    </w:p>
    <w:p>
      <w:pPr>
        <w:jc w:val="center"/>
      </w:pPr>
      <w:r>
        <w:t>&amp;</w:t>
      </w:r>
    </w:p>
    <w:p>
      <w:pPr>
        <w:jc w:val="center"/>
        <w:rPr>
          <w:bCs/>
        </w:rPr>
      </w:pPr>
      <w:r>
        <w:rPr>
          <w:bCs/>
        </w:rPr>
        <w:t xml:space="preserve">A bons de commande : articles R.2162-13 à R.2162-14 du code </w:t>
      </w:r>
    </w:p>
    <w:p>
      <w:pPr>
        <w:jc w:val="center"/>
      </w:pPr>
    </w:p>
    <w:p>
      <w:pPr>
        <w:ind w:right="411"/>
        <w:jc w:val="both"/>
        <w:rPr>
          <w:rFonts w:cs="Calibri"/>
          <w:szCs w:val="22"/>
        </w:rPr>
      </w:pPr>
    </w:p>
    <w:p>
      <w:pPr>
        <w:jc w:val="center"/>
      </w:pPr>
    </w:p>
    <w:p>
      <w:pPr>
        <w:jc w:val="center"/>
        <w:rPr>
          <w:b/>
        </w:rPr>
      </w:pPr>
      <w:r>
        <w:rPr>
          <w:b/>
        </w:rPr>
        <w:t>Pouvoir Adjudicateur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Pr>
        <w:jc w:val="center"/>
      </w:pPr>
    </w:p>
    <w:p>
      <w:pPr>
        <w:jc w:val="center"/>
        <w:rPr>
          <w:b/>
        </w:rPr>
      </w:pPr>
    </w:p>
    <w:p>
      <w:pPr>
        <w:jc w:val="center"/>
        <w:rPr>
          <w:b/>
        </w:rPr>
      </w:pPr>
    </w:p>
    <w:p>
      <w:pPr>
        <w:jc w:val="center"/>
      </w:pPr>
    </w:p>
    <w:p/>
    <w:p/>
    <w:p/>
    <w:p/>
    <w:p>
      <w:pPr>
        <w:spacing w:after="200" w:line="276" w:lineRule="auto"/>
      </w:pPr>
    </w:p>
    <w:p>
      <w:pPr>
        <w:spacing w:after="200" w:line="276" w:lineRule="auto"/>
      </w:pPr>
      <w:r>
        <w:br w:type="page"/>
      </w:r>
    </w:p>
    <w:p>
      <w:pPr>
        <w:ind w:left="0"/>
        <w:rPr>
          <w:b/>
        </w:rPr>
      </w:pPr>
      <w:r>
        <w:rPr>
          <w:b/>
        </w:rPr>
        <w:lastRenderedPageBreak/>
        <w:t>OBJET DU MARCHE PUBLIC</w:t>
      </w:r>
    </w:p>
    <w:p>
      <w:pPr>
        <w:ind w:left="0"/>
        <w:rPr>
          <w:b/>
        </w:rPr>
      </w:pPr>
    </w:p>
    <w:p>
      <w:pPr>
        <w:widowControl w:val="0"/>
        <w:autoSpaceDE w:val="0"/>
        <w:autoSpaceDN w:val="0"/>
        <w:spacing w:before="57"/>
        <w:ind w:left="944"/>
        <w:rPr>
          <w:rFonts w:eastAsia="Calibri" w:cs="Calibri"/>
          <w:szCs w:val="22"/>
          <w:lang w:eastAsia="en-US"/>
        </w:rPr>
      </w:pPr>
      <w:bookmarkStart w:id="0" w:name="_Hlk181692077"/>
      <w:r>
        <w:rPr>
          <w:rFonts w:eastAsia="Calibri" w:cs="Calibri"/>
          <w:spacing w:val="-1"/>
          <w:szCs w:val="22"/>
          <w:lang w:eastAsia="en-US"/>
        </w:rPr>
        <w:t>Le</w:t>
      </w:r>
      <w:r>
        <w:rPr>
          <w:rFonts w:eastAsia="Calibri" w:cs="Calibri"/>
          <w:spacing w:val="-14"/>
          <w:szCs w:val="22"/>
          <w:lang w:eastAsia="en-US"/>
        </w:rPr>
        <w:t xml:space="preserve"> </w:t>
      </w:r>
      <w:r>
        <w:rPr>
          <w:rFonts w:eastAsia="Calibri" w:cs="Calibri"/>
          <w:spacing w:val="-1"/>
          <w:szCs w:val="22"/>
          <w:lang w:eastAsia="en-US"/>
        </w:rPr>
        <w:t>présent</w:t>
      </w:r>
      <w:r>
        <w:rPr>
          <w:rFonts w:eastAsia="Calibri" w:cs="Calibri"/>
          <w:spacing w:val="-16"/>
          <w:szCs w:val="22"/>
          <w:lang w:eastAsia="en-US"/>
        </w:rPr>
        <w:t xml:space="preserve"> </w:t>
      </w:r>
      <w:r>
        <w:rPr>
          <w:rFonts w:eastAsia="Calibri" w:cs="Calibri"/>
          <w:spacing w:val="-1"/>
          <w:szCs w:val="22"/>
          <w:lang w:eastAsia="en-US"/>
        </w:rPr>
        <w:t>marché a</w:t>
      </w:r>
      <w:r>
        <w:rPr>
          <w:rFonts w:eastAsia="Calibri" w:cs="Calibri"/>
          <w:spacing w:val="-4"/>
          <w:szCs w:val="22"/>
          <w:lang w:eastAsia="en-US"/>
        </w:rPr>
        <w:t xml:space="preserve"> </w:t>
      </w:r>
      <w:r>
        <w:rPr>
          <w:rFonts w:eastAsia="Calibri" w:cs="Calibri"/>
          <w:spacing w:val="-1"/>
          <w:szCs w:val="22"/>
          <w:lang w:eastAsia="en-US"/>
        </w:rPr>
        <w:t>pour</w:t>
      </w:r>
      <w:r>
        <w:rPr>
          <w:rFonts w:eastAsia="Calibri" w:cs="Calibri"/>
          <w:spacing w:val="-12"/>
          <w:szCs w:val="22"/>
          <w:lang w:eastAsia="en-US"/>
        </w:rPr>
        <w:t xml:space="preserve"> </w:t>
      </w:r>
      <w:r>
        <w:rPr>
          <w:rFonts w:eastAsia="Calibri" w:cs="Calibri"/>
          <w:spacing w:val="-1"/>
          <w:szCs w:val="22"/>
          <w:lang w:eastAsia="en-US"/>
        </w:rPr>
        <w:t>objet</w:t>
      </w:r>
      <w:r>
        <w:rPr>
          <w:rFonts w:eastAsia="Calibri" w:cs="Calibri"/>
          <w:spacing w:val="-3"/>
          <w:szCs w:val="22"/>
          <w:lang w:eastAsia="en-US"/>
        </w:rPr>
        <w:t xml:space="preserve"> les prestations de services de </w:t>
      </w:r>
      <w:proofErr w:type="spellStart"/>
      <w:r>
        <w:rPr>
          <w:rFonts w:eastAsia="Calibri" w:cs="Calibri"/>
          <w:spacing w:val="-3"/>
          <w:szCs w:val="22"/>
          <w:lang w:eastAsia="en-US"/>
        </w:rPr>
        <w:t>Bio-nettoyage</w:t>
      </w:r>
      <w:proofErr w:type="spellEnd"/>
      <w:r>
        <w:rPr>
          <w:rFonts w:eastAsia="Calibri" w:cs="Calibri"/>
          <w:szCs w:val="22"/>
          <w:lang w:eastAsia="en-US"/>
        </w:rPr>
        <w:t>, d’entretien de la vitrerie pour le GHT Plaine De France.</w:t>
      </w:r>
    </w:p>
    <w:p>
      <w:pPr>
        <w:widowControl w:val="0"/>
        <w:autoSpaceDE w:val="0"/>
        <w:autoSpaceDN w:val="0"/>
        <w:spacing w:before="57"/>
        <w:ind w:left="944"/>
        <w:rPr>
          <w:rFonts w:eastAsia="Calibri" w:cs="Calibri"/>
          <w:szCs w:val="22"/>
          <w:lang w:eastAsia="en-US"/>
        </w:rPr>
      </w:pPr>
    </w:p>
    <w:p>
      <w:pPr>
        <w:widowControl w:val="0"/>
        <w:autoSpaceDE w:val="0"/>
        <w:autoSpaceDN w:val="0"/>
        <w:spacing w:before="57"/>
        <w:ind w:left="944"/>
        <w:rPr>
          <w:rFonts w:eastAsia="Calibri" w:cs="Calibri"/>
          <w:szCs w:val="22"/>
          <w:lang w:eastAsia="en-US"/>
        </w:rPr>
      </w:pPr>
      <w:r>
        <w:rPr>
          <w:rFonts w:eastAsia="Calibri" w:cs="Calibri"/>
          <w:szCs w:val="22"/>
          <w:lang w:eastAsia="en-US"/>
        </w:rPr>
        <w:t xml:space="preserve">PSE Obligatoire : </w:t>
      </w:r>
      <w:proofErr w:type="spellStart"/>
      <w:r>
        <w:rPr>
          <w:rFonts w:eastAsia="Calibri" w:cs="Calibri"/>
          <w:szCs w:val="22"/>
          <w:lang w:eastAsia="en-US"/>
        </w:rPr>
        <w:t>Bio-nettoyage</w:t>
      </w:r>
      <w:proofErr w:type="spellEnd"/>
      <w:r>
        <w:rPr>
          <w:rFonts w:eastAsia="Calibri" w:cs="Calibri"/>
          <w:szCs w:val="22"/>
          <w:lang w:eastAsia="en-US"/>
        </w:rPr>
        <w:t xml:space="preserve"> des structures extrahospitalières du Centre Hospitalier de Gonesse</w:t>
      </w:r>
    </w:p>
    <w:p>
      <w:pPr>
        <w:widowControl w:val="0"/>
        <w:autoSpaceDE w:val="0"/>
        <w:autoSpaceDN w:val="0"/>
        <w:spacing w:before="57"/>
        <w:ind w:left="0"/>
        <w:rPr>
          <w:rFonts w:eastAsia="Calibri" w:cs="Calibri"/>
          <w:szCs w:val="22"/>
          <w:lang w:eastAsia="en-US"/>
        </w:rPr>
      </w:pPr>
    </w:p>
    <w:bookmarkEnd w:id="0"/>
    <w:p>
      <w:pPr>
        <w:ind w:left="0"/>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sdt>
        <w:sdtPr>
          <w:id w:val="19913629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gramStart"/>
      <w:r>
        <w:rPr>
          <w:rFonts w:cs="Calibri"/>
          <w:color w:val="000000"/>
          <w:szCs w:val="22"/>
        </w:rPr>
        <w:t>à</w:t>
      </w:r>
      <w:proofErr w:type="gramEnd"/>
      <w:r>
        <w:rPr>
          <w:rFonts w:cs="Calibri"/>
          <w:color w:val="000000"/>
          <w:szCs w:val="22"/>
        </w:rPr>
        <w:t xml:space="preserve"> l’offre de base ;</w:t>
      </w:r>
    </w:p>
    <w:p>
      <w:pPr>
        <w:rPr>
          <w:rFonts w:cs="Calibri"/>
          <w:color w:val="000000"/>
          <w:szCs w:val="22"/>
        </w:rPr>
      </w:pPr>
    </w:p>
    <w:p>
      <w:pPr>
        <w:pStyle w:val="TableParagraph"/>
      </w:pPr>
      <w:bookmarkStart w:id="1" w:name="_Hlk182850348"/>
      <w:r>
        <w:t xml:space="preserve">              </w:t>
      </w:r>
      <w:sdt>
        <w:sdtPr>
          <w:id w:val="175748396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bookmarkEnd w:id="1"/>
      <w:r>
        <w:tab/>
      </w:r>
      <w:r>
        <w:rPr>
          <w:u w:val="single"/>
        </w:rPr>
        <w:t>Lot 1</w:t>
      </w:r>
      <w:r>
        <w:t xml:space="preserve"> -</w:t>
      </w:r>
      <w:r>
        <w:rPr>
          <w:spacing w:val="-1"/>
        </w:rPr>
        <w:t xml:space="preserve">   </w:t>
      </w:r>
      <w:proofErr w:type="spellStart"/>
      <w:r>
        <w:t>Bio-nettoyage</w:t>
      </w:r>
      <w:proofErr w:type="spellEnd"/>
      <w:r>
        <w:t xml:space="preserve"> et entretien de la vitrerie accessible de plain-pied ou à la</w:t>
      </w:r>
    </w:p>
    <w:p>
      <w:pPr>
        <w:pStyle w:val="TableParagraph"/>
      </w:pPr>
      <w:r>
        <w:rPr>
          <w:rFonts w:ascii="MS Gothic" w:eastAsia="MS Gothic" w:hAnsi="MS Gothic" w:hint="eastAsia"/>
        </w:rPr>
        <w:t xml:space="preserve"> </w:t>
      </w:r>
      <w:r>
        <w:rPr>
          <w:rFonts w:ascii="MS Gothic" w:eastAsia="MS Gothic" w:hAnsi="MS Gothic"/>
        </w:rPr>
        <w:t xml:space="preserve">               </w:t>
      </w:r>
      <w:r>
        <w:t xml:space="preserve">      </w:t>
      </w:r>
      <w:proofErr w:type="gramStart"/>
      <w:r>
        <w:t>perche</w:t>
      </w:r>
      <w:proofErr w:type="gramEnd"/>
      <w:r>
        <w:t xml:space="preserve"> et via les passerelles extérieures des différents étages pour le GHT.</w:t>
      </w:r>
    </w:p>
    <w:p>
      <w:pPr>
        <w:pStyle w:val="TableParagraph"/>
      </w:pPr>
    </w:p>
    <w:p>
      <w:pPr>
        <w:pStyle w:val="TableParagraph"/>
        <w:spacing w:line="265" w:lineRule="exact"/>
      </w:pPr>
      <w:r>
        <w:t xml:space="preserve">             </w:t>
      </w:r>
      <w:sdt>
        <w:sdtPr>
          <w:id w:val="-144991741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2</w:t>
      </w:r>
      <w:r>
        <w:t xml:space="preserve"> -</w:t>
      </w:r>
      <w:r>
        <w:tab/>
        <w:t>Entretien de la vitrerie non accessible de plain-pied ou à la perche :</w:t>
      </w:r>
    </w:p>
    <w:p>
      <w:pPr>
        <w:pStyle w:val="TableParagraph"/>
        <w:numPr>
          <w:ilvl w:val="0"/>
          <w:numId w:val="29"/>
        </w:numPr>
        <w:spacing w:line="265" w:lineRule="exact"/>
        <w:rPr>
          <w:spacing w:val="-2"/>
        </w:rPr>
      </w:pPr>
      <w:r>
        <w:rPr>
          <w:spacing w:val="-2"/>
        </w:rPr>
        <w:t>CH Saint-Denis et Casanova.</w:t>
      </w:r>
    </w:p>
    <w:p>
      <w:pPr>
        <w:pStyle w:val="TableParagraph"/>
        <w:numPr>
          <w:ilvl w:val="0"/>
          <w:numId w:val="29"/>
        </w:numPr>
        <w:spacing w:line="265" w:lineRule="exact"/>
        <w:rPr>
          <w:spacing w:val="-2"/>
        </w:rPr>
      </w:pPr>
      <w:r>
        <w:rPr>
          <w:spacing w:val="-2"/>
        </w:rPr>
        <w:t>Bâtiments extérieurs du Centre Hospitalier de Gonesse.</w:t>
      </w:r>
    </w:p>
    <w:p>
      <w:pPr>
        <w:pStyle w:val="TableParagraph"/>
        <w:spacing w:line="265" w:lineRule="exact"/>
        <w:ind w:left="3187"/>
        <w:rPr>
          <w:spacing w:val="-2"/>
        </w:rPr>
      </w:pPr>
    </w:p>
    <w:p>
      <w:pPr>
        <w:pStyle w:val="TableParagraph"/>
        <w:spacing w:line="265" w:lineRule="exact"/>
      </w:pPr>
      <w:r>
        <w:t xml:space="preserve">             </w:t>
      </w:r>
      <w:sdt>
        <w:sdtPr>
          <w:id w:val="-130161816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3</w:t>
      </w:r>
      <w:r>
        <w:t xml:space="preserve"> -</w:t>
      </w:r>
      <w:r>
        <w:tab/>
        <w:t xml:space="preserve">Entretien de la vitrerie extérieure/intérieure non accessible de plain-pied </w:t>
      </w:r>
      <w:proofErr w:type="gramStart"/>
      <w:r>
        <w:t>ou</w:t>
      </w:r>
      <w:proofErr w:type="gramEnd"/>
      <w:r>
        <w:t xml:space="preserve">      </w:t>
      </w:r>
    </w:p>
    <w:p>
      <w:pPr>
        <w:pStyle w:val="TableParagraph"/>
        <w:spacing w:line="265" w:lineRule="exact"/>
      </w:pPr>
      <w:r>
        <w:t xml:space="preserve">                                          </w:t>
      </w:r>
      <w:proofErr w:type="gramStart"/>
      <w:r>
        <w:t>à</w:t>
      </w:r>
      <w:proofErr w:type="gramEnd"/>
      <w:r>
        <w:t xml:space="preserve"> la perche CH GONESSE NHG.</w:t>
      </w:r>
    </w:p>
    <w:p>
      <w:pPr>
        <w:pStyle w:val="TableParagraph"/>
        <w:spacing w:line="265" w:lineRule="exact"/>
      </w:pPr>
    </w:p>
    <w:p>
      <w:r>
        <w:t xml:space="preserve">              </w:t>
      </w:r>
      <w:sdt>
        <w:sdtPr>
          <w:id w:val="-10365595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 xml:space="preserve">PSE Obligatoire </w:t>
      </w:r>
      <w:r>
        <w:t xml:space="preserve">- </w:t>
      </w:r>
      <w:proofErr w:type="spellStart"/>
      <w:r>
        <w:t>Bio-nettoyage</w:t>
      </w:r>
      <w:proofErr w:type="spellEnd"/>
      <w:r>
        <w:t xml:space="preserve"> des structures extrahospitalières du Centre </w:t>
      </w:r>
    </w:p>
    <w:p>
      <w:r>
        <w:t xml:space="preserve">                                                             Hospitalier de Gonesse.</w:t>
      </w:r>
      <w:r>
        <w:tab/>
      </w:r>
    </w:p>
    <w:p>
      <w:pPr>
        <w:ind w:left="0"/>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CCAP </w:t>
      </w:r>
    </w:p>
    <w:p>
      <w:pPr>
        <w:spacing w:before="100" w:beforeAutospacing="1" w:after="100" w:afterAutospacing="1"/>
        <w:rPr>
          <w:rFonts w:cs="Calibri"/>
          <w:color w:val="000000"/>
          <w:szCs w:val="22"/>
        </w:rPr>
      </w:pPr>
      <w:sdt>
        <w:sdtPr>
          <w:rPr>
            <w:rFonts w:cs="Calibri"/>
            <w:color w:val="000000"/>
            <w:szCs w:val="22"/>
          </w:rPr>
          <w:id w:val="-1762127548"/>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CCTP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 : ……………………………………………………………………………………………</w:t>
      </w:r>
    </w:p>
    <w:p>
      <w:pPr>
        <w:spacing w:before="100" w:beforeAutospacing="1" w:after="100" w:afterAutospacing="1"/>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lastRenderedPageBreak/>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s’engage</w:t>
      </w:r>
      <w:proofErr w:type="gramEnd"/>
      <w:r>
        <w:rPr>
          <w:rFonts w:cs="Calibri"/>
          <w:color w:val="000000"/>
          <w:szCs w:val="22"/>
        </w:rPr>
        <w:t>,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 xml:space="preserve">             </w:t>
      </w: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rPr>
          <w:lang w:eastAsia="ar-SA"/>
        </w:rPr>
      </w:pPr>
      <w:r>
        <w:rPr>
          <w:lang w:eastAsia="ar-SA"/>
        </w:rPr>
        <w:t>L’accord-cadre est conclu pour une durée de 24 mois à compter du 1</w:t>
      </w:r>
      <w:r>
        <w:rPr>
          <w:vertAlign w:val="superscript"/>
          <w:lang w:eastAsia="ar-SA"/>
        </w:rPr>
        <w:t>er</w:t>
      </w:r>
      <w:r>
        <w:rPr>
          <w:lang w:eastAsia="ar-SA"/>
        </w:rPr>
        <w:t xml:space="preserve"> février 2026 et jusqu’au 31 janvier 2028.</w:t>
      </w:r>
    </w:p>
    <w:p>
      <w:pPr>
        <w:rPr>
          <w:lang w:eastAsia="ar-SA"/>
        </w:rPr>
      </w:pPr>
      <w:r>
        <w:rPr>
          <w:lang w:eastAsia="ar-SA"/>
        </w:rPr>
        <w:t>L’accord-cadre est reconductible 2 fois par période de 12 mois par tacite reconduction et n’excèdera pas le 31 janvier 2030.</w:t>
      </w:r>
    </w:p>
    <w:p>
      <w:pPr>
        <w:pStyle w:val="Titre1"/>
        <w:spacing w:after="0"/>
        <w:ind w:left="357" w:hanging="357"/>
      </w:pPr>
      <w:r>
        <w:t>Signature du marché public par le titulaire individuel ou, en cas groupement, le mandataire dûment habilité ou chaque membre du groupement</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ind w:left="0"/>
      </w:pPr>
    </w:p>
    <w:p>
      <w:pPr>
        <w:ind w:left="0"/>
      </w:pPr>
    </w:p>
    <w:p>
      <w:pPr>
        <w:ind w:left="0"/>
      </w:pPr>
    </w:p>
    <w:p>
      <w:pPr>
        <w:ind w:left="0"/>
      </w:pPr>
    </w:p>
    <w:p>
      <w:pPr>
        <w:ind w:left="0"/>
      </w:pPr>
    </w:p>
    <w:p>
      <w:pPr>
        <w:ind w:left="0"/>
      </w:pPr>
      <w:bookmarkStart w:id="2" w:name="_GoBack"/>
      <w:bookmarkEnd w:id="2"/>
    </w:p>
    <w:p>
      <w:pPr>
        <w:ind w:left="0"/>
      </w:pPr>
    </w:p>
    <w:p>
      <w:pPr>
        <w:ind w:left="0"/>
      </w:pPr>
      <w:r>
        <w:lastRenderedPageBreak/>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pStyle w:val="Paragraphedeliste"/>
        <w:ind w:left="1429"/>
        <w:rPr>
          <w:rFonts w:cs="Calibri"/>
          <w:color w:val="000000"/>
          <w:szCs w:val="22"/>
        </w:rPr>
      </w:pPr>
    </w:p>
    <w:p>
      <w:pPr>
        <w:pStyle w:val="Paragraphedeliste"/>
        <w:ind w:left="1429"/>
        <w:jc w:val="center"/>
        <w:rPr>
          <w:rFonts w:cs="Calibri"/>
          <w:color w:val="000000"/>
          <w:szCs w:val="22"/>
        </w:rPr>
      </w:pPr>
      <w:r>
        <w:rPr>
          <w:rFonts w:cs="Calibri"/>
          <w:color w:val="000000"/>
          <w:szCs w:val="22"/>
        </w:rPr>
        <w:t>Clara BRUNEL</w:t>
      </w:r>
    </w:p>
    <w:p>
      <w:pPr>
        <w:pStyle w:val="Paragraphedeliste"/>
        <w:ind w:left="1429"/>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 xml:space="preserve">                 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jc w:val="center"/>
        <w:rPr>
          <w:rFonts w:cs="Calibri"/>
          <w:color w:val="000000"/>
          <w:szCs w:val="22"/>
        </w:rPr>
      </w:pPr>
      <w:r>
        <w:rPr>
          <w:rFonts w:cs="Calibri"/>
          <w:color w:val="000000"/>
          <w:szCs w:val="22"/>
        </w:rPr>
        <w:t>Le comptable assignataire du CENTRE HOSPITALIER DE SAINT-DENIS</w:t>
      </w:r>
    </w:p>
    <w:p>
      <w:pPr>
        <w:jc w:val="center"/>
        <w:rPr>
          <w:rFonts w:cs="Calibri"/>
          <w:color w:val="000000"/>
          <w:szCs w:val="22"/>
        </w:rPr>
      </w:pPr>
      <w:r>
        <w:rPr>
          <w:rFonts w:cs="Calibri"/>
          <w:color w:val="000000"/>
          <w:szCs w:val="22"/>
        </w:rPr>
        <w:t>ETABLISSEMENT SUPPORT DU GHT PLAINE DE FRANCE</w:t>
      </w:r>
    </w:p>
    <w:p>
      <w:pPr>
        <w:jc w:val="center"/>
        <w:rPr>
          <w:rFonts w:cs="Calibri"/>
          <w:color w:val="000000"/>
          <w:szCs w:val="22"/>
        </w:rPr>
      </w:pPr>
      <w:r>
        <w:rPr>
          <w:rFonts w:cs="Calibri"/>
          <w:color w:val="000000"/>
          <w:szCs w:val="22"/>
        </w:rPr>
        <w:t>Direction des Achats</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BP 279</w:t>
      </w:r>
    </w:p>
    <w:p>
      <w:pPr>
        <w:jc w:val="center"/>
        <w:rPr>
          <w:rFonts w:cs="Calibri"/>
          <w:color w:val="000000"/>
          <w:szCs w:val="22"/>
        </w:rPr>
      </w:pPr>
      <w:r>
        <w:rPr>
          <w:rFonts w:cs="Calibri"/>
          <w:color w:val="000000"/>
          <w:szCs w:val="22"/>
        </w:rPr>
        <w:t>93205 SAINT-DENIS CEDEX</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consultation pour le lot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p>
    <w:p>
      <w:pPr>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sectPr>
      <w:footerReference w:type="default" r:id="rId11"/>
      <w:headerReference w:type="first" r:id="rId12"/>
      <w:footerReference w:type="first" r:id="rId13"/>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AE : PRESTATIONS DE SERVICES DE BIO-NETTOYAGE, D’ENTRETIEN DES LOCAUX ET LA VITRERIE POUR LE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1.25pt;height:129.7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7F3159E"/>
    <w:multiLevelType w:val="hybridMultilevel"/>
    <w:tmpl w:val="E0D84B3C"/>
    <w:lvl w:ilvl="0" w:tplc="02B64CF6">
      <w:numFmt w:val="bullet"/>
      <w:lvlText w:val="-"/>
      <w:lvlJc w:val="left"/>
      <w:pPr>
        <w:ind w:left="1304" w:hanging="360"/>
      </w:pPr>
      <w:rPr>
        <w:rFonts w:ascii="Calibri" w:eastAsia="Times New Roman" w:hAnsi="Calibri" w:cs="Calibri" w:hint="default"/>
      </w:rPr>
    </w:lvl>
    <w:lvl w:ilvl="1" w:tplc="040C0003" w:tentative="1">
      <w:start w:val="1"/>
      <w:numFmt w:val="bullet"/>
      <w:lvlText w:val="o"/>
      <w:lvlJc w:val="left"/>
      <w:pPr>
        <w:ind w:left="2024" w:hanging="360"/>
      </w:pPr>
      <w:rPr>
        <w:rFonts w:ascii="Courier New" w:hAnsi="Courier New" w:cs="Courier New" w:hint="default"/>
      </w:rPr>
    </w:lvl>
    <w:lvl w:ilvl="2" w:tplc="040C0005" w:tentative="1">
      <w:start w:val="1"/>
      <w:numFmt w:val="bullet"/>
      <w:lvlText w:val=""/>
      <w:lvlJc w:val="left"/>
      <w:pPr>
        <w:ind w:left="2744" w:hanging="360"/>
      </w:pPr>
      <w:rPr>
        <w:rFonts w:ascii="Wingdings" w:hAnsi="Wingdings" w:hint="default"/>
      </w:rPr>
    </w:lvl>
    <w:lvl w:ilvl="3" w:tplc="040C0001" w:tentative="1">
      <w:start w:val="1"/>
      <w:numFmt w:val="bullet"/>
      <w:lvlText w:val=""/>
      <w:lvlJc w:val="left"/>
      <w:pPr>
        <w:ind w:left="3464" w:hanging="360"/>
      </w:pPr>
      <w:rPr>
        <w:rFonts w:ascii="Symbol" w:hAnsi="Symbol" w:hint="default"/>
      </w:rPr>
    </w:lvl>
    <w:lvl w:ilvl="4" w:tplc="040C0003" w:tentative="1">
      <w:start w:val="1"/>
      <w:numFmt w:val="bullet"/>
      <w:lvlText w:val="o"/>
      <w:lvlJc w:val="left"/>
      <w:pPr>
        <w:ind w:left="4184" w:hanging="360"/>
      </w:pPr>
      <w:rPr>
        <w:rFonts w:ascii="Courier New" w:hAnsi="Courier New" w:cs="Courier New" w:hint="default"/>
      </w:rPr>
    </w:lvl>
    <w:lvl w:ilvl="5" w:tplc="040C0005" w:tentative="1">
      <w:start w:val="1"/>
      <w:numFmt w:val="bullet"/>
      <w:lvlText w:val=""/>
      <w:lvlJc w:val="left"/>
      <w:pPr>
        <w:ind w:left="4904" w:hanging="360"/>
      </w:pPr>
      <w:rPr>
        <w:rFonts w:ascii="Wingdings" w:hAnsi="Wingdings" w:hint="default"/>
      </w:rPr>
    </w:lvl>
    <w:lvl w:ilvl="6" w:tplc="040C0001" w:tentative="1">
      <w:start w:val="1"/>
      <w:numFmt w:val="bullet"/>
      <w:lvlText w:val=""/>
      <w:lvlJc w:val="left"/>
      <w:pPr>
        <w:ind w:left="5624" w:hanging="360"/>
      </w:pPr>
      <w:rPr>
        <w:rFonts w:ascii="Symbol" w:hAnsi="Symbol" w:hint="default"/>
      </w:rPr>
    </w:lvl>
    <w:lvl w:ilvl="7" w:tplc="040C0003" w:tentative="1">
      <w:start w:val="1"/>
      <w:numFmt w:val="bullet"/>
      <w:lvlText w:val="o"/>
      <w:lvlJc w:val="left"/>
      <w:pPr>
        <w:ind w:left="6344" w:hanging="360"/>
      </w:pPr>
      <w:rPr>
        <w:rFonts w:ascii="Courier New" w:hAnsi="Courier New" w:cs="Courier New" w:hint="default"/>
      </w:rPr>
    </w:lvl>
    <w:lvl w:ilvl="8" w:tplc="040C0005" w:tentative="1">
      <w:start w:val="1"/>
      <w:numFmt w:val="bullet"/>
      <w:lvlText w:val=""/>
      <w:lvlJc w:val="left"/>
      <w:pPr>
        <w:ind w:left="7064" w:hanging="360"/>
      </w:pPr>
      <w:rPr>
        <w:rFonts w:ascii="Wingdings" w:hAnsi="Wingdings" w:hint="default"/>
      </w:rPr>
    </w:lvl>
  </w:abstractNum>
  <w:abstractNum w:abstractNumId="11"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A4D3227"/>
    <w:multiLevelType w:val="hybridMultilevel"/>
    <w:tmpl w:val="922C3BCE"/>
    <w:lvl w:ilvl="0" w:tplc="CC36DD62">
      <w:numFmt w:val="bullet"/>
      <w:lvlText w:val="-"/>
      <w:lvlJc w:val="left"/>
      <w:pPr>
        <w:ind w:left="1302" w:hanging="358"/>
      </w:pPr>
      <w:rPr>
        <w:rFonts w:ascii="Calibri" w:eastAsia="Calibri" w:hAnsi="Calibri" w:cs="Calibri" w:hint="default"/>
        <w:w w:val="100"/>
        <w:sz w:val="22"/>
        <w:szCs w:val="22"/>
        <w:lang w:val="fr-FR" w:eastAsia="en-US" w:bidi="ar-SA"/>
      </w:rPr>
    </w:lvl>
    <w:lvl w:ilvl="1" w:tplc="816A56C4">
      <w:numFmt w:val="bullet"/>
      <w:lvlText w:val=""/>
      <w:lvlJc w:val="left"/>
      <w:pPr>
        <w:ind w:left="1561" w:hanging="360"/>
      </w:pPr>
      <w:rPr>
        <w:rFonts w:ascii="Symbol" w:eastAsia="Symbol" w:hAnsi="Symbol" w:cs="Symbol" w:hint="default"/>
        <w:w w:val="100"/>
        <w:sz w:val="22"/>
        <w:szCs w:val="22"/>
        <w:lang w:val="fr-FR" w:eastAsia="en-US" w:bidi="ar-SA"/>
      </w:rPr>
    </w:lvl>
    <w:lvl w:ilvl="2" w:tplc="3832284E">
      <w:numFmt w:val="bullet"/>
      <w:lvlText w:val="•"/>
      <w:lvlJc w:val="left"/>
      <w:pPr>
        <w:ind w:left="2548" w:hanging="360"/>
      </w:pPr>
      <w:rPr>
        <w:rFonts w:hint="default"/>
        <w:lang w:val="fr-FR" w:eastAsia="en-US" w:bidi="ar-SA"/>
      </w:rPr>
    </w:lvl>
    <w:lvl w:ilvl="3" w:tplc="9CBC6C4E">
      <w:numFmt w:val="bullet"/>
      <w:lvlText w:val="•"/>
      <w:lvlJc w:val="left"/>
      <w:pPr>
        <w:ind w:left="3537" w:hanging="360"/>
      </w:pPr>
      <w:rPr>
        <w:rFonts w:hint="default"/>
        <w:lang w:val="fr-FR" w:eastAsia="en-US" w:bidi="ar-SA"/>
      </w:rPr>
    </w:lvl>
    <w:lvl w:ilvl="4" w:tplc="78E6A206">
      <w:numFmt w:val="bullet"/>
      <w:lvlText w:val="•"/>
      <w:lvlJc w:val="left"/>
      <w:pPr>
        <w:ind w:left="4526" w:hanging="360"/>
      </w:pPr>
      <w:rPr>
        <w:rFonts w:hint="default"/>
        <w:lang w:val="fr-FR" w:eastAsia="en-US" w:bidi="ar-SA"/>
      </w:rPr>
    </w:lvl>
    <w:lvl w:ilvl="5" w:tplc="6EB48268">
      <w:numFmt w:val="bullet"/>
      <w:lvlText w:val="•"/>
      <w:lvlJc w:val="left"/>
      <w:pPr>
        <w:ind w:left="5515" w:hanging="360"/>
      </w:pPr>
      <w:rPr>
        <w:rFonts w:hint="default"/>
        <w:lang w:val="fr-FR" w:eastAsia="en-US" w:bidi="ar-SA"/>
      </w:rPr>
    </w:lvl>
    <w:lvl w:ilvl="6" w:tplc="71BA8FF4">
      <w:numFmt w:val="bullet"/>
      <w:lvlText w:val="•"/>
      <w:lvlJc w:val="left"/>
      <w:pPr>
        <w:ind w:left="6504" w:hanging="360"/>
      </w:pPr>
      <w:rPr>
        <w:rFonts w:hint="default"/>
        <w:lang w:val="fr-FR" w:eastAsia="en-US" w:bidi="ar-SA"/>
      </w:rPr>
    </w:lvl>
    <w:lvl w:ilvl="7" w:tplc="EAD80C62">
      <w:numFmt w:val="bullet"/>
      <w:lvlText w:val="•"/>
      <w:lvlJc w:val="left"/>
      <w:pPr>
        <w:ind w:left="7493" w:hanging="360"/>
      </w:pPr>
      <w:rPr>
        <w:rFonts w:hint="default"/>
        <w:lang w:val="fr-FR" w:eastAsia="en-US" w:bidi="ar-SA"/>
      </w:rPr>
    </w:lvl>
    <w:lvl w:ilvl="8" w:tplc="8B1E7D0C">
      <w:numFmt w:val="bullet"/>
      <w:lvlText w:val="•"/>
      <w:lvlJc w:val="left"/>
      <w:pPr>
        <w:ind w:left="8482" w:hanging="360"/>
      </w:pPr>
      <w:rPr>
        <w:rFonts w:hint="default"/>
        <w:lang w:val="fr-FR" w:eastAsia="en-US" w:bidi="ar-SA"/>
      </w:rPr>
    </w:lvl>
  </w:abstractNum>
  <w:abstractNum w:abstractNumId="17"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8"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2B329FF"/>
    <w:multiLevelType w:val="hybridMultilevel"/>
    <w:tmpl w:val="CB58894E"/>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2"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5396A62"/>
    <w:multiLevelType w:val="hybridMultilevel"/>
    <w:tmpl w:val="C74C4A4E"/>
    <w:lvl w:ilvl="0" w:tplc="DB6AFA6C">
      <w:numFmt w:val="bullet"/>
      <w:lvlText w:val="-"/>
      <w:lvlJc w:val="left"/>
      <w:pPr>
        <w:ind w:left="3187" w:hanging="360"/>
      </w:pPr>
      <w:rPr>
        <w:rFonts w:ascii="Calibri" w:eastAsia="Calibri" w:hAnsi="Calibri" w:cs="Calibri" w:hint="default"/>
      </w:rPr>
    </w:lvl>
    <w:lvl w:ilvl="1" w:tplc="040C0003" w:tentative="1">
      <w:start w:val="1"/>
      <w:numFmt w:val="bullet"/>
      <w:lvlText w:val="o"/>
      <w:lvlJc w:val="left"/>
      <w:pPr>
        <w:ind w:left="3907" w:hanging="360"/>
      </w:pPr>
      <w:rPr>
        <w:rFonts w:ascii="Courier New" w:hAnsi="Courier New" w:cs="Courier New" w:hint="default"/>
      </w:rPr>
    </w:lvl>
    <w:lvl w:ilvl="2" w:tplc="040C0005" w:tentative="1">
      <w:start w:val="1"/>
      <w:numFmt w:val="bullet"/>
      <w:lvlText w:val=""/>
      <w:lvlJc w:val="left"/>
      <w:pPr>
        <w:ind w:left="4627" w:hanging="360"/>
      </w:pPr>
      <w:rPr>
        <w:rFonts w:ascii="Wingdings" w:hAnsi="Wingdings" w:hint="default"/>
      </w:rPr>
    </w:lvl>
    <w:lvl w:ilvl="3" w:tplc="040C0001" w:tentative="1">
      <w:start w:val="1"/>
      <w:numFmt w:val="bullet"/>
      <w:lvlText w:val=""/>
      <w:lvlJc w:val="left"/>
      <w:pPr>
        <w:ind w:left="5347" w:hanging="360"/>
      </w:pPr>
      <w:rPr>
        <w:rFonts w:ascii="Symbol" w:hAnsi="Symbol" w:hint="default"/>
      </w:rPr>
    </w:lvl>
    <w:lvl w:ilvl="4" w:tplc="040C0003" w:tentative="1">
      <w:start w:val="1"/>
      <w:numFmt w:val="bullet"/>
      <w:lvlText w:val="o"/>
      <w:lvlJc w:val="left"/>
      <w:pPr>
        <w:ind w:left="6067" w:hanging="360"/>
      </w:pPr>
      <w:rPr>
        <w:rFonts w:ascii="Courier New" w:hAnsi="Courier New" w:cs="Courier New" w:hint="default"/>
      </w:rPr>
    </w:lvl>
    <w:lvl w:ilvl="5" w:tplc="040C0005" w:tentative="1">
      <w:start w:val="1"/>
      <w:numFmt w:val="bullet"/>
      <w:lvlText w:val=""/>
      <w:lvlJc w:val="left"/>
      <w:pPr>
        <w:ind w:left="6787" w:hanging="360"/>
      </w:pPr>
      <w:rPr>
        <w:rFonts w:ascii="Wingdings" w:hAnsi="Wingdings" w:hint="default"/>
      </w:rPr>
    </w:lvl>
    <w:lvl w:ilvl="6" w:tplc="040C0001" w:tentative="1">
      <w:start w:val="1"/>
      <w:numFmt w:val="bullet"/>
      <w:lvlText w:val=""/>
      <w:lvlJc w:val="left"/>
      <w:pPr>
        <w:ind w:left="7507" w:hanging="360"/>
      </w:pPr>
      <w:rPr>
        <w:rFonts w:ascii="Symbol" w:hAnsi="Symbol" w:hint="default"/>
      </w:rPr>
    </w:lvl>
    <w:lvl w:ilvl="7" w:tplc="040C0003" w:tentative="1">
      <w:start w:val="1"/>
      <w:numFmt w:val="bullet"/>
      <w:lvlText w:val="o"/>
      <w:lvlJc w:val="left"/>
      <w:pPr>
        <w:ind w:left="8227" w:hanging="360"/>
      </w:pPr>
      <w:rPr>
        <w:rFonts w:ascii="Courier New" w:hAnsi="Courier New" w:cs="Courier New" w:hint="default"/>
      </w:rPr>
    </w:lvl>
    <w:lvl w:ilvl="8" w:tplc="040C0005" w:tentative="1">
      <w:start w:val="1"/>
      <w:numFmt w:val="bullet"/>
      <w:lvlText w:val=""/>
      <w:lvlJc w:val="left"/>
      <w:pPr>
        <w:ind w:left="8947" w:hanging="360"/>
      </w:pPr>
      <w:rPr>
        <w:rFonts w:ascii="Wingdings" w:hAnsi="Wingdings" w:hint="default"/>
      </w:rPr>
    </w:lvl>
  </w:abstractNum>
  <w:abstractNum w:abstractNumId="32"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7"/>
  </w:num>
  <w:num w:numId="4">
    <w:abstractNumId w:val="27"/>
  </w:num>
  <w:num w:numId="5">
    <w:abstractNumId w:val="30"/>
  </w:num>
  <w:num w:numId="6">
    <w:abstractNumId w:val="19"/>
  </w:num>
  <w:num w:numId="7">
    <w:abstractNumId w:val="23"/>
  </w:num>
  <w:num w:numId="8">
    <w:abstractNumId w:val="26"/>
  </w:num>
  <w:num w:numId="9">
    <w:abstractNumId w:val="22"/>
  </w:num>
  <w:num w:numId="10">
    <w:abstractNumId w:val="5"/>
  </w:num>
  <w:num w:numId="11">
    <w:abstractNumId w:val="18"/>
  </w:num>
  <w:num w:numId="12">
    <w:abstractNumId w:val="32"/>
  </w:num>
  <w:num w:numId="13">
    <w:abstractNumId w:val="25"/>
  </w:num>
  <w:num w:numId="14">
    <w:abstractNumId w:val="6"/>
  </w:num>
  <w:num w:numId="15">
    <w:abstractNumId w:val="12"/>
  </w:num>
  <w:num w:numId="16">
    <w:abstractNumId w:val="29"/>
  </w:num>
  <w:num w:numId="17">
    <w:abstractNumId w:val="28"/>
  </w:num>
  <w:num w:numId="18">
    <w:abstractNumId w:val="15"/>
  </w:num>
  <w:num w:numId="19">
    <w:abstractNumId w:val="11"/>
  </w:num>
  <w:num w:numId="20">
    <w:abstractNumId w:val="8"/>
  </w:num>
  <w:num w:numId="21">
    <w:abstractNumId w:val="14"/>
  </w:num>
  <w:num w:numId="22">
    <w:abstractNumId w:val="9"/>
  </w:num>
  <w:num w:numId="23">
    <w:abstractNumId w:val="24"/>
  </w:num>
  <w:num w:numId="24">
    <w:abstractNumId w:val="13"/>
  </w:num>
  <w:num w:numId="25">
    <w:abstractNumId w:val="20"/>
  </w:num>
  <w:num w:numId="26">
    <w:abstractNumId w:val="16"/>
  </w:num>
  <w:num w:numId="27">
    <w:abstractNumId w:val="10"/>
  </w:num>
  <w:num w:numId="28">
    <w:abstractNumId w:val="21"/>
  </w:num>
  <w:num w:numId="29">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rPr>
      <w:rFonts w:ascii="Calibri" w:hAnsi="Calibri"/>
      <w:szCs w:val="24"/>
    </w:rPr>
  </w:style>
  <w:style w:type="paragraph" w:customStyle="1" w:styleId="TableParagraph">
    <w:name w:val="Table Paragraph"/>
    <w:basedOn w:val="Normal"/>
    <w:uiPriority w:val="1"/>
    <w:qFormat/>
    <w:pPr>
      <w:widowControl w:val="0"/>
      <w:autoSpaceDE w:val="0"/>
      <w:autoSpaceDN w:val="0"/>
      <w:spacing w:line="253" w:lineRule="exact"/>
      <w:ind w:left="777"/>
    </w:pPr>
    <w:rPr>
      <w:rFonts w:eastAsia="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41664696">
      <w:bodyDiv w:val="1"/>
      <w:marLeft w:val="0"/>
      <w:marRight w:val="0"/>
      <w:marTop w:val="0"/>
      <w:marBottom w:val="0"/>
      <w:divBdr>
        <w:top w:val="none" w:sz="0" w:space="0" w:color="auto"/>
        <w:left w:val="none" w:sz="0" w:space="0" w:color="auto"/>
        <w:bottom w:val="none" w:sz="0" w:space="0" w:color="auto"/>
        <w:right w:val="none" w:sz="0" w:space="0" w:color="auto"/>
      </w:divBdr>
      <w:divsChild>
        <w:div w:id="1933271206">
          <w:marLeft w:val="0"/>
          <w:marRight w:val="0"/>
          <w:marTop w:val="0"/>
          <w:marBottom w:val="0"/>
          <w:divBdr>
            <w:top w:val="none" w:sz="0" w:space="0" w:color="auto"/>
            <w:left w:val="none" w:sz="0" w:space="0" w:color="auto"/>
            <w:bottom w:val="none" w:sz="0" w:space="0" w:color="auto"/>
            <w:right w:val="none" w:sz="0" w:space="0" w:color="auto"/>
          </w:divBdr>
        </w:div>
        <w:div w:id="1455901828">
          <w:marLeft w:val="0"/>
          <w:marRight w:val="0"/>
          <w:marTop w:val="0"/>
          <w:marBottom w:val="0"/>
          <w:divBdr>
            <w:top w:val="none" w:sz="0" w:space="0" w:color="auto"/>
            <w:left w:val="none" w:sz="0" w:space="0" w:color="auto"/>
            <w:bottom w:val="none" w:sz="0" w:space="0" w:color="auto"/>
            <w:right w:val="none" w:sz="0" w:space="0" w:color="auto"/>
          </w:divBdr>
        </w:div>
        <w:div w:id="2122332688">
          <w:marLeft w:val="0"/>
          <w:marRight w:val="0"/>
          <w:marTop w:val="0"/>
          <w:marBottom w:val="0"/>
          <w:divBdr>
            <w:top w:val="none" w:sz="0" w:space="0" w:color="auto"/>
            <w:left w:val="none" w:sz="0" w:space="0" w:color="auto"/>
            <w:bottom w:val="none" w:sz="0" w:space="0" w:color="auto"/>
            <w:right w:val="none" w:sz="0" w:space="0" w:color="auto"/>
          </w:divBdr>
        </w:div>
        <w:div w:id="383142287">
          <w:marLeft w:val="0"/>
          <w:marRight w:val="0"/>
          <w:marTop w:val="0"/>
          <w:marBottom w:val="0"/>
          <w:divBdr>
            <w:top w:val="none" w:sz="0" w:space="0" w:color="auto"/>
            <w:left w:val="none" w:sz="0" w:space="0" w:color="auto"/>
            <w:bottom w:val="none" w:sz="0" w:space="0" w:color="auto"/>
            <w:right w:val="none" w:sz="0" w:space="0" w:color="auto"/>
          </w:divBdr>
        </w:div>
        <w:div w:id="486752827">
          <w:marLeft w:val="0"/>
          <w:marRight w:val="0"/>
          <w:marTop w:val="0"/>
          <w:marBottom w:val="0"/>
          <w:divBdr>
            <w:top w:val="none" w:sz="0" w:space="0" w:color="auto"/>
            <w:left w:val="none" w:sz="0" w:space="0" w:color="auto"/>
            <w:bottom w:val="none" w:sz="0" w:space="0" w:color="auto"/>
            <w:right w:val="none" w:sz="0" w:space="0" w:color="auto"/>
          </w:divBdr>
        </w:div>
        <w:div w:id="1771271198">
          <w:marLeft w:val="0"/>
          <w:marRight w:val="0"/>
          <w:marTop w:val="0"/>
          <w:marBottom w:val="0"/>
          <w:divBdr>
            <w:top w:val="none" w:sz="0" w:space="0" w:color="auto"/>
            <w:left w:val="none" w:sz="0" w:space="0" w:color="auto"/>
            <w:bottom w:val="none" w:sz="0" w:space="0" w:color="auto"/>
            <w:right w:val="none" w:sz="0" w:space="0" w:color="auto"/>
          </w:divBdr>
        </w:div>
      </w:divsChild>
    </w:div>
    <w:div w:id="149201993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4A1F1-430E-436B-ADC2-1A826103A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909</Words>
  <Characters>5002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Sandrine GERMAIN</cp:lastModifiedBy>
  <cp:revision>64</cp:revision>
  <cp:lastPrinted>2020-09-29T16:24:00Z</cp:lastPrinted>
  <dcterms:created xsi:type="dcterms:W3CDTF">2025-01-16T08:59:00Z</dcterms:created>
  <dcterms:modified xsi:type="dcterms:W3CDTF">2025-06-18T09:08:00Z</dcterms:modified>
</cp:coreProperties>
</file>